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4B" w:rsidRPr="004A054B" w:rsidRDefault="004A054B" w:rsidP="004A054B">
      <w:pPr>
        <w:pStyle w:val="Sansinterligne"/>
        <w:rPr>
          <w:rFonts w:ascii="Arial" w:hAnsi="Arial" w:cs="Arial"/>
          <w:b/>
          <w:sz w:val="28"/>
          <w:szCs w:val="28"/>
        </w:rPr>
      </w:pPr>
      <w:r w:rsidRPr="004A054B">
        <w:rPr>
          <w:rFonts w:ascii="Arial" w:hAnsi="Arial" w:cs="Arial"/>
          <w:b/>
          <w:sz w:val="28"/>
          <w:szCs w:val="28"/>
        </w:rPr>
        <w:t>A L’ATTENTION DES SECRETAIRES GENERAUX ET DES AGENTS COMPTABLES D’EPLE</w:t>
      </w:r>
    </w:p>
    <w:p w:rsidR="004A054B" w:rsidRPr="004A054B" w:rsidRDefault="004A054B" w:rsidP="004A054B">
      <w:pPr>
        <w:pStyle w:val="Sansinterligne"/>
        <w:rPr>
          <w:rFonts w:ascii="Arial" w:hAnsi="Arial" w:cs="Arial"/>
          <w:b/>
          <w:sz w:val="28"/>
          <w:szCs w:val="28"/>
        </w:rPr>
      </w:pPr>
      <w:r w:rsidRPr="004A054B">
        <w:rPr>
          <w:rFonts w:ascii="Arial" w:hAnsi="Arial" w:cs="Arial"/>
          <w:b/>
          <w:sz w:val="28"/>
          <w:szCs w:val="28"/>
        </w:rPr>
        <w:t>S/c des cellules académiques d’aide et de conseil aux EPLE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A diffuser à l’ensemble de vos collaborateurs, svp.</w:t>
      </w:r>
    </w:p>
    <w:p w:rsid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Mesdames et Messieurs,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Chers collègues,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Je vous propose, ci-dessous, un nouveau point de situation relatif aux dossiers suivis par le bureau de la règlementation comptable et du conseil aux EPLE (DAF A3).</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Le système d’information financière OP@LE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1- Les derniers indicateurs du déploiement du progiciel</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2- Les prochaines évolutions fonctionnelles du progiciel</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3- L’assistance aux utilisateurs d’OP@LE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Les évolutions règlementaires et les pratiques métiers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4- La dématérialisation des encaissements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5- Les actions de renforcement de la qualité budgétaire et comptable des EPLE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6- Les textes en cours d’élaboration</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Informations diverses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7- Les postes vacants au sein du bureau DAF A3</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1–  LES DERNIERS INDICATEURS DU DEPLOIEMENT D’OP@LE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Depuis le 1er janvier 2026, 96% des EPLE utilisent OP@LE. La fin du déploiement du progiciel aura lieu en janvier 2027. La dernière vague de déploiement concernera 367 établissements.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Au 30 mars 2026, 62% des comptes financiers de l’exercice 2025 ont été clôturés dans OP@LE. Les tickets d’assistance relatifs à la clôture des comptes font l’objet d’un traitement prioritaire par le pôle national de Guérande.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Jusqu’à l’été, 11 agents comptables ou fondés de pouvoir missionnés collaborent à la résolution des situations les plus difficiles.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Parmi les causes de retard des clôtures figurent notamment l’absence d’intégration des SAS des inventaires immobilisés.</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La société IANORD (</w:t>
      </w:r>
      <w:proofErr w:type="spellStart"/>
      <w:r w:rsidRPr="004A054B">
        <w:rPr>
          <w:rFonts w:ascii="Arial" w:hAnsi="Arial" w:cs="Arial"/>
          <w:sz w:val="20"/>
          <w:szCs w:val="20"/>
        </w:rPr>
        <w:t>WebCZ</w:t>
      </w:r>
      <w:proofErr w:type="spellEnd"/>
      <w:r w:rsidRPr="004A054B">
        <w:rPr>
          <w:rFonts w:ascii="Arial" w:hAnsi="Arial" w:cs="Arial"/>
          <w:sz w:val="20"/>
          <w:szCs w:val="20"/>
        </w:rPr>
        <w:t>) ayant été victime d’une cyberattaque en 2025, les établissements concernés (177 à date) doivent contacter l’éditeur pour reconstituer les données.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Pour les établissements utilisant </w:t>
      </w:r>
      <w:proofErr w:type="spellStart"/>
      <w:r w:rsidRPr="004A054B">
        <w:rPr>
          <w:rFonts w:ascii="Arial" w:hAnsi="Arial" w:cs="Arial"/>
          <w:sz w:val="20"/>
          <w:szCs w:val="20"/>
        </w:rPr>
        <w:t>Egimmo</w:t>
      </w:r>
      <w:proofErr w:type="spellEnd"/>
      <w:r w:rsidRPr="004A054B">
        <w:rPr>
          <w:rFonts w:ascii="Arial" w:hAnsi="Arial" w:cs="Arial"/>
          <w:sz w:val="20"/>
          <w:szCs w:val="20"/>
        </w:rPr>
        <w:t>, la société EFFI se charge de créer les SAS et de corriger les discordances. Il convient donc de faire appel à elle systématiquement.</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Focus sur les établissements de la Vague 10.</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Afin d’anticiper la fin d’exercice, il vous appartient de soumettre un SAS avant le 30 juin.</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2– LES PROCHAINES EVOLUTIONS FONCTIONNELLES D’OP@LE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La prochaine montée de version d’OP@LE sera effectuée le jeudi 9 avril (V26.01). Elle entraînera un arrêt de la production une partie de la matinée (précisions à venir sur le portail </w:t>
      </w:r>
      <w:proofErr w:type="spellStart"/>
      <w:r w:rsidRPr="004A054B">
        <w:rPr>
          <w:rFonts w:ascii="Arial" w:hAnsi="Arial" w:cs="Arial"/>
          <w:sz w:val="20"/>
          <w:szCs w:val="20"/>
        </w:rPr>
        <w:t>Mf</w:t>
      </w:r>
      <w:proofErr w:type="spellEnd"/>
      <w:r w:rsidRPr="004A054B">
        <w:rPr>
          <w:rFonts w:ascii="Arial" w:hAnsi="Arial" w:cs="Arial"/>
          <w:sz w:val="20"/>
          <w:szCs w:val="20"/>
        </w:rPr>
        <w:t>²).</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Cette version prend en compte les besoins exprimés par les utilisateurs parmi lesquels la simplification du prélèvement automatique, l’automatisation des DAO, l’utilisation des DP pour les paies, l’édition des dépenses par CGR et par fournisseur, la visualisation des factures, l’édition </w:t>
      </w:r>
      <w:r w:rsidRPr="004A054B">
        <w:rPr>
          <w:rFonts w:ascii="Arial" w:hAnsi="Arial" w:cs="Arial"/>
          <w:sz w:val="20"/>
          <w:szCs w:val="20"/>
        </w:rPr>
        <w:lastRenderedPageBreak/>
        <w:t>complète du COFI, les quittances régies, etc. La notice de version sera disponible sur le portail Mf2 dès cette semaine. Les modes opératoires relatifs aux évolutions les plus complexes (DP de paies, DAO et Prélèvement automatique) seront mis à jour dans un délai de 2 semaines.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Pour votre parfaite information, vous trouverez ci-après le calendrier des évolutions majeures des pr</w:t>
      </w:r>
      <w:r>
        <w:rPr>
          <w:rFonts w:ascii="Arial" w:hAnsi="Arial" w:cs="Arial"/>
          <w:sz w:val="20"/>
          <w:szCs w:val="20"/>
        </w:rPr>
        <w:t>ochains mois.</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Montée de version J2 (CEGID)</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Cette montée de version devrait être installée en juillet 2026. Il ne s’agit pas d’une évolution d’OP@LE mais du logiciel souche XRP </w:t>
      </w:r>
      <w:proofErr w:type="spellStart"/>
      <w:r w:rsidRPr="004A054B">
        <w:rPr>
          <w:rFonts w:ascii="Arial" w:hAnsi="Arial" w:cs="Arial"/>
          <w:sz w:val="20"/>
          <w:szCs w:val="20"/>
        </w:rPr>
        <w:t>Ultimate</w:t>
      </w:r>
      <w:proofErr w:type="spellEnd"/>
      <w:r w:rsidRPr="004A054B">
        <w:rPr>
          <w:rFonts w:ascii="Arial" w:hAnsi="Arial" w:cs="Arial"/>
          <w:sz w:val="20"/>
          <w:szCs w:val="20"/>
        </w:rPr>
        <w:t>. La préparation a débuté depuis plusieurs mois et les tests de non régression commenceront la semaine prochaine. L’ergonomie du logiciel ne sera pas fortement modifiée, mais certains boutons seront redessinés, les polices et cadres rendus plus lisibles et quelques fonctionnalités nouvelles seront disponibles. L’enjeu est bien sûr de fiabiliser la transition vers cette nouvelle version. La mise en production en période creuse apportera u</w:t>
      </w:r>
      <w:r>
        <w:rPr>
          <w:rFonts w:ascii="Arial" w:hAnsi="Arial" w:cs="Arial"/>
          <w:sz w:val="20"/>
          <w:szCs w:val="20"/>
        </w:rPr>
        <w:t>ne sécurisation supplémentaire.</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CRDC</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Le calculateur réglementaire des droits constatés permet de saisir les constatations forfaitaires pour le SRH dans les logiciels privés de restauration. L’usage du CRDC est ouvert depuis le 1er janvier 2026 pour les éditeurs </w:t>
      </w:r>
      <w:proofErr w:type="spellStart"/>
      <w:r w:rsidRPr="004A054B">
        <w:rPr>
          <w:rFonts w:ascii="Arial" w:hAnsi="Arial" w:cs="Arial"/>
          <w:sz w:val="20"/>
          <w:szCs w:val="20"/>
        </w:rPr>
        <w:t>Ianord</w:t>
      </w:r>
      <w:proofErr w:type="spellEnd"/>
      <w:r w:rsidRPr="004A054B">
        <w:rPr>
          <w:rFonts w:ascii="Arial" w:hAnsi="Arial" w:cs="Arial"/>
          <w:sz w:val="20"/>
          <w:szCs w:val="20"/>
        </w:rPr>
        <w:t xml:space="preserve"> et </w:t>
      </w:r>
      <w:proofErr w:type="spellStart"/>
      <w:r w:rsidRPr="004A054B">
        <w:rPr>
          <w:rFonts w:ascii="Arial" w:hAnsi="Arial" w:cs="Arial"/>
          <w:sz w:val="20"/>
          <w:szCs w:val="20"/>
        </w:rPr>
        <w:t>Turboself</w:t>
      </w:r>
      <w:proofErr w:type="spellEnd"/>
      <w:r w:rsidRPr="004A054B">
        <w:rPr>
          <w:rFonts w:ascii="Arial" w:hAnsi="Arial" w:cs="Arial"/>
          <w:sz w:val="20"/>
          <w:szCs w:val="20"/>
        </w:rPr>
        <w:t xml:space="preserve"> si les EPLE le souhaitent. A date, 37 établissements sont raccordés. Alise est toujours en phase de développement et nous n’avons pa</w:t>
      </w:r>
      <w:r>
        <w:rPr>
          <w:rFonts w:ascii="Arial" w:hAnsi="Arial" w:cs="Arial"/>
          <w:sz w:val="20"/>
          <w:szCs w:val="20"/>
        </w:rPr>
        <w:t>s de visibilité concernant ARD.</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REGIES Lot 2</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Le nouveau module Régie, livré en janvier 2026, donne satisfaction. Il permet une étanchéité entre la comptabilité du régisseur et celle du comptable. De nombreuses améliorations sont prévues dans le lot 2, qui sera livré en septembre 2026 (gestion des rejets, recettes CB, contrôle des disponibilités, portage des PJ, compteurs, ajout du compte 585000, etc.) qui rendront obligatoire l’utilisation de ce module. Pour rappel, chaque régie doit être dotée d’un compte DFT distinct de ce</w:t>
      </w:r>
      <w:r>
        <w:rPr>
          <w:rFonts w:ascii="Arial" w:hAnsi="Arial" w:cs="Arial"/>
          <w:sz w:val="20"/>
          <w:szCs w:val="20"/>
        </w:rPr>
        <w:t>lui tenu par l’agent comptable.</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INTERFACE PORTE-MONNAIE ELECTRONIQUE RESTAURATION</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Cette interface va permettre de transférer automatiquement dans OP@LE, et pour chaque tiers, les encaissements réalisés dans les logiciels privés de restauration. Les liquidations des titres de recettes à réaliser (du montant des consommations) seront également automatisées. Les éditeurs poursuivent les développements dans la perspective d’une mise à disposition à la rentrée.</w:t>
      </w:r>
    </w:p>
    <w:p w:rsidR="004A054B" w:rsidRPr="004A054B" w:rsidRDefault="004A054B" w:rsidP="004A054B">
      <w:pPr>
        <w:pStyle w:val="Sansinterligne"/>
        <w:rPr>
          <w:rFonts w:ascii="Arial" w:hAnsi="Arial" w:cs="Arial"/>
          <w:sz w:val="20"/>
          <w:szCs w:val="20"/>
        </w:rPr>
      </w:pPr>
      <w:r>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INTERFACE FACTURATION GRETA</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Suite à la transmission du cahier des charges aux éditeurs privés, ceux-ci réalisent les adaptations nécessaires de leurs logiciels. Dès que les tests auront abouti, des expérimentations pourront être menées (Juin 2026).</w:t>
      </w:r>
    </w:p>
    <w:p w:rsidR="004A054B" w:rsidRPr="004A054B" w:rsidRDefault="004A054B" w:rsidP="004A054B">
      <w:pPr>
        <w:pStyle w:val="Sansinterligne"/>
        <w:rPr>
          <w:rFonts w:ascii="Arial" w:hAnsi="Arial" w:cs="Arial"/>
          <w:sz w:val="20"/>
          <w:szCs w:val="20"/>
        </w:rPr>
      </w:pPr>
      <w:r>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IDE@LE</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IDE@</w:t>
      </w:r>
      <w:proofErr w:type="gramStart"/>
      <w:r w:rsidRPr="004A054B">
        <w:rPr>
          <w:rFonts w:ascii="Arial" w:hAnsi="Arial" w:cs="Arial"/>
          <w:sz w:val="20"/>
          <w:szCs w:val="20"/>
        </w:rPr>
        <w:t>LE est</w:t>
      </w:r>
      <w:proofErr w:type="gramEnd"/>
      <w:r w:rsidRPr="004A054B">
        <w:rPr>
          <w:rFonts w:ascii="Arial" w:hAnsi="Arial" w:cs="Arial"/>
          <w:sz w:val="20"/>
          <w:szCs w:val="20"/>
        </w:rPr>
        <w:t xml:space="preserve"> un outil d’aide à la décision et au pilotage financier qui présente sous forme de graphiques et de tableaux, les données annuelles et les principaux indicateurs financiers des établissements qui utilisent OP@LE. Une nouvelle version sera diffusée courant mai. Elle sera accompagnée d’une démonstration de l’outil par le bureau DAF A3 en webinaire, à l’attention de tous les agents comptables. Courant septembre, une nouvelle montée de version affichera, pour chaque EPLE, un indicateur de santé financière déterminé par rapport aux valeurs médianes des établissements rattachés à la même collectivité. En 2026, les données d’IDE@LE sont actualisées chaque trimestre. A partir de 2027, cette actualisation sera mensuelle et la remontée COFIPILOTAGE s’effectuera en même temps que la validation des écritures de clôture.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Le progiciel OP@LE fait l’objet d’évolutions constantes pour un meilleur confort des utilisateurs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lastRenderedPageBreak/>
        <w:t>Les prochaines améliorations seront, à nouveau, guidées par les expressions de besoin émis par les groupes académiques d’utilisateurs existants, qui seront prochainement relancés pour une actualisation de la feuille de route. En outre, pour information, 3 nouveaux groupes de travail utilisateurs ont été constitués pour améliorer les processus existants sur les fonctionnalités liées aux immobilisations, au recouvrement et aux GRETA.</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3 – L’ASSISTANCE AUX UTILISATEURS D’OP@LE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Le stock global actuel s’élève à 2 808 tickets (50% traités en académie et 50% traités au niveau national). Le flux de tickets enregistré par le pôle national de Guérande a connu un engorgement en janvier/février qui commence à se résorber. Il s’explique par l’accompagnement de la V10, par une complexité plus grande des demandes ainsi que par un démarrage précoce des sollicitations liées à la fin d’exercice. Durant l’année 2026, une réflexion sur l’organisation cible de l’assistance post-déploiement d’OP@LE sera menée.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4 – LA DEMATERIALISATION DES ENCAISSSEMENTS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La DGFIP a programmé la fermeture du centre de traitement des chèques de Rennes en juin 2027. Les EPLE doivent donc réduire drastiquement le volume des chèques encaissés (déjà en cours de diminution : 5 millions en 2024, 4 millions en 2025). En septembre 2026, la mention du règlement par chèque sur les ASAP sera supprimée.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Par conséquent, des modes de règlement dématérialisés doivent être systématiquement proposés aux usagers.</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Le prélèvement automatique sera fortement simplifié avec la V26.01. Il convient d’en faire la promotion auprès des familles avec le dossier de rentrée.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Tous les EPLE doivent signer une convention </w:t>
      </w:r>
      <w:proofErr w:type="spellStart"/>
      <w:r w:rsidRPr="004A054B">
        <w:rPr>
          <w:rFonts w:ascii="Arial" w:hAnsi="Arial" w:cs="Arial"/>
          <w:sz w:val="20"/>
          <w:szCs w:val="20"/>
        </w:rPr>
        <w:t>Payfip</w:t>
      </w:r>
      <w:proofErr w:type="spellEnd"/>
      <w:r w:rsidRPr="004A054B">
        <w:rPr>
          <w:rFonts w:ascii="Arial" w:hAnsi="Arial" w:cs="Arial"/>
          <w:sz w:val="20"/>
          <w:szCs w:val="20"/>
        </w:rPr>
        <w:t xml:space="preserve"> afin d’autoriser les paiements CB des forfaits de restauration et des voyages scolaires avec OP@LE. Les agents comptables dont les établissements ne sont pas raccordés à </w:t>
      </w:r>
      <w:proofErr w:type="spellStart"/>
      <w:r w:rsidRPr="004A054B">
        <w:rPr>
          <w:rFonts w:ascii="Arial" w:hAnsi="Arial" w:cs="Arial"/>
          <w:sz w:val="20"/>
          <w:szCs w:val="20"/>
        </w:rPr>
        <w:t>PayFip</w:t>
      </w:r>
      <w:proofErr w:type="spellEnd"/>
      <w:r w:rsidRPr="004A054B">
        <w:rPr>
          <w:rFonts w:ascii="Arial" w:hAnsi="Arial" w:cs="Arial"/>
          <w:sz w:val="20"/>
          <w:szCs w:val="20"/>
        </w:rPr>
        <w:t>, doivent, en lien avec eux, entamer les démarches sans délai (signature convention d’adhésion).</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Le virement référencé fait l’objet d’une étude de faisabilité pour une mise à disposition à partir de 2028.</w:t>
      </w:r>
    </w:p>
    <w:p w:rsidR="004A054B" w:rsidRPr="004A054B" w:rsidRDefault="004A054B" w:rsidP="004A054B">
      <w:pPr>
        <w:pStyle w:val="Sansinterligne"/>
        <w:rPr>
          <w:rFonts w:ascii="Arial" w:hAnsi="Arial" w:cs="Arial"/>
          <w:sz w:val="20"/>
          <w:szCs w:val="20"/>
        </w:rPr>
      </w:pPr>
      <w:bookmarkStart w:id="0" w:name="_GoBack"/>
      <w:bookmarkEnd w:id="0"/>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5 – LES ACTIONS DE RENFORCEMENT DE LA QUALITE BUDGETAIRE ET COMPTABLE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a)      Le Contrôle interne financier</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L’IC M9-6 OP@LE du 19 janvier 2026 prévoit que le plan de CIF est une pièce obligatoire du compte financier (cartographie des risques, plans d’action et organigramme fonctionnel nominatif) à partir de l’exercice 2026. À défaut du plan de CIF, le compte financier sera considéré comme non produit, ce qui relève d’une infraction au sens des dispositions de l’article L131-13 du code des juridictions financières. Des modèles de documents ont été mis à disposition des EPLE sur TRIBU. Les EPLE peuvent librement utiliser d’autres ressources, dans la mesure où ces dernières répondent aux mêmes finalités de couverture des risques.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Pour rappel, le CIF concerne tous les acteurs de la chaîne financière des EPLE : chefs d’établissement, secrétaires généraux, agents comptables, chargés de gestion ou de comptabilité, magasiniers, etc. Un module « CIF » sera inséré au Programme National de Formation (PNF) de la prochaine rentrée scolaire.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b)      L’examen des comptes financiers par les académies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Cette mission est une conséquence de la RGP et consiste à contrôler les comptes annuels produits par les EPLE, à en apprécier la qualité et à formuler des observations sur les anomalies constatées, en assurant un suivi pluriannuel des actions correctrices.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Dans le cadre de cette mission, le bureau DAF A3 sera amené à définir les objectifs de la campagne de contrôle ainsi que les points de contrôle prioritaires. L’objectif est d’évaluer la qualité des comptes à partir des indicateurs financiers et des justifications produites. A cet égard, nous rappelons que l’Annexe, rédigée par l’agent comptable, doit apporter tous les éléments d’éclairage utiles à la compréhension du compte sur chiffres. Par ailleurs, les états de développement de solde doivent présenter des comptes à jour des rapprochements et lettrages. A chaque utilisation d’un tiers générique, le solde doit être détaillé par tiers réel dans un état annexe (avances ou créances de </w:t>
      </w:r>
      <w:r w:rsidRPr="004A054B">
        <w:rPr>
          <w:rFonts w:ascii="Arial" w:hAnsi="Arial" w:cs="Arial"/>
          <w:sz w:val="20"/>
          <w:szCs w:val="20"/>
        </w:rPr>
        <w:lastRenderedPageBreak/>
        <w:t>restauration par exemple). Enfin, chaque ligne composant le développement du solde de chaque compte doit respecter la position prévue dans le plan comptable (débit ou crédit).</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6 – LES TEXTES EN COURS D’ELABORATION</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La DAF et la DGFIP ont programmé des travaux d’élaboration des textes relatifs à la mise en place dans les EPLE du contrôle sélectif de la dépense, du contrôle allégé en partenariat et du service facturier. Un guide méthodologique sera diffusé à cette occasion. OP@LE sera progressivement adapté. Nous espérons aboutir avant la fin d’année 2026.</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Par ailleurs, nous attendons la modification prochaine de l’article 173-3 du décret relatif à la GBCP qui vise à confier au ministre de l’éducation nationale le soin de prendre les décisions de rétablissement de la caisse des EPLE à la place du ministre chargé du budget (faute imputable au service comptable).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b/>
          <w:sz w:val="20"/>
          <w:szCs w:val="20"/>
        </w:rPr>
      </w:pPr>
      <w:r w:rsidRPr="004A054B">
        <w:rPr>
          <w:rFonts w:ascii="Arial" w:hAnsi="Arial" w:cs="Arial"/>
          <w:b/>
          <w:sz w:val="20"/>
          <w:szCs w:val="20"/>
        </w:rPr>
        <w:t>7- LES POSTES VACANTS AU SEIN DU BUREAU DAF A3</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Deux postes sont vacants au sein du bureau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Un(e) chargé(e) de mission « Contrôle et Audit des comptes des EPLE » (Création)</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Un(e) </w:t>
      </w:r>
      <w:proofErr w:type="spellStart"/>
      <w:r w:rsidRPr="004A054B">
        <w:rPr>
          <w:rFonts w:ascii="Arial" w:hAnsi="Arial" w:cs="Arial"/>
          <w:sz w:val="20"/>
          <w:szCs w:val="20"/>
        </w:rPr>
        <w:t>assisant</w:t>
      </w:r>
      <w:proofErr w:type="spellEnd"/>
      <w:r w:rsidRPr="004A054B">
        <w:rPr>
          <w:rFonts w:ascii="Arial" w:hAnsi="Arial" w:cs="Arial"/>
          <w:sz w:val="20"/>
          <w:szCs w:val="20"/>
        </w:rPr>
        <w:t xml:space="preserve">(e) fonctionnel(le) </w:t>
      </w:r>
      <w:proofErr w:type="spellStart"/>
      <w:r w:rsidRPr="004A054B">
        <w:rPr>
          <w:rFonts w:ascii="Arial" w:hAnsi="Arial" w:cs="Arial"/>
          <w:sz w:val="20"/>
          <w:szCs w:val="20"/>
        </w:rPr>
        <w:t>Op@le</w:t>
      </w:r>
      <w:proofErr w:type="spellEnd"/>
      <w:r w:rsidRPr="004A054B">
        <w:rPr>
          <w:rFonts w:ascii="Arial" w:hAnsi="Arial" w:cs="Arial"/>
          <w:sz w:val="20"/>
          <w:szCs w:val="20"/>
        </w:rPr>
        <w:t xml:space="preserve"> (pôle MOA) chargé(e) de faire évoluer le progiciel.</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Default="004A054B" w:rsidP="004A054B">
      <w:pPr>
        <w:pStyle w:val="Sansinterligne"/>
        <w:rPr>
          <w:rFonts w:ascii="Arial" w:hAnsi="Arial" w:cs="Arial"/>
          <w:sz w:val="20"/>
          <w:szCs w:val="20"/>
        </w:rPr>
      </w:pPr>
      <w:r w:rsidRPr="004A054B">
        <w:rPr>
          <w:rFonts w:ascii="Arial" w:hAnsi="Arial" w:cs="Arial"/>
          <w:sz w:val="20"/>
          <w:szCs w:val="20"/>
        </w:rPr>
        <w:t>Nous recherchons des personnes ayant une expérience en EPLE. Vous pouvez m’adresser directement vos candidatures. Les fiches de poste sont jointes à ce mail.</w:t>
      </w:r>
    </w:p>
    <w:p w:rsidR="004A054B" w:rsidRPr="004A054B" w:rsidRDefault="004A054B" w:rsidP="004A054B">
      <w:pPr>
        <w:pStyle w:val="Sansinterligne"/>
        <w:rPr>
          <w:rFonts w:ascii="Arial" w:hAnsi="Arial" w:cs="Arial"/>
          <w:sz w:val="20"/>
          <w:szCs w:val="20"/>
        </w:rPr>
      </w:pP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Je vous remercie pour le temps consacré à la lecture de ce message et vous souhaite une bonne fin d’année scolaire,</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 xml:space="preserve"> </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Fabien COLLET</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Chef de bureau</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Bureau de la réglementation comptable et du conseil aux EPLE - DAF A3</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Secrétariat général – Direction des affaires financières</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110, rue de Grenelle - pièce 419</w:t>
      </w:r>
    </w:p>
    <w:p w:rsidR="004A054B" w:rsidRPr="004A054B" w:rsidRDefault="004A054B" w:rsidP="004A054B">
      <w:pPr>
        <w:pStyle w:val="Sansinterligne"/>
        <w:rPr>
          <w:rFonts w:ascii="Arial" w:hAnsi="Arial" w:cs="Arial"/>
          <w:sz w:val="20"/>
          <w:szCs w:val="20"/>
        </w:rPr>
      </w:pPr>
      <w:r w:rsidRPr="004A054B">
        <w:rPr>
          <w:rFonts w:ascii="Arial" w:hAnsi="Arial" w:cs="Arial"/>
          <w:sz w:val="20"/>
          <w:szCs w:val="20"/>
        </w:rPr>
        <w:t>75357 Paris 07 SP</w:t>
      </w:r>
    </w:p>
    <w:p w:rsidR="0023183F" w:rsidRPr="004A054B" w:rsidRDefault="004A054B" w:rsidP="004A054B">
      <w:pPr>
        <w:pStyle w:val="Sansinterligne"/>
        <w:rPr>
          <w:rFonts w:ascii="Arial" w:hAnsi="Arial" w:cs="Arial"/>
          <w:sz w:val="20"/>
          <w:szCs w:val="20"/>
        </w:rPr>
      </w:pPr>
    </w:p>
    <w:sectPr w:rsidR="0023183F" w:rsidRPr="004A0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4B"/>
    <w:rsid w:val="001F1416"/>
    <w:rsid w:val="00253AB0"/>
    <w:rsid w:val="004A054B"/>
    <w:rsid w:val="00A147DC"/>
    <w:rsid w:val="00DE6AF5"/>
    <w:rsid w:val="00FA7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BEAF"/>
  <w15:chartTrackingRefBased/>
  <w15:docId w15:val="{474E2573-7DCF-4A49-8C8C-EF83664E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7DC"/>
  </w:style>
  <w:style w:type="paragraph" w:styleId="Titre1">
    <w:name w:val="heading 1"/>
    <w:basedOn w:val="Normal"/>
    <w:next w:val="Normal"/>
    <w:link w:val="Titre1Car"/>
    <w:uiPriority w:val="9"/>
    <w:qFormat/>
    <w:rsid w:val="00A147D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A147D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147D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A147D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A147D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A147D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A147D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A147D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A147D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7DC"/>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A147D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147DC"/>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A147DC"/>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A147DC"/>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A147DC"/>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A147DC"/>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A147DC"/>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A147DC"/>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A147DC"/>
    <w:pPr>
      <w:spacing w:line="240" w:lineRule="auto"/>
    </w:pPr>
    <w:rPr>
      <w:b/>
      <w:bCs/>
      <w:smallCaps/>
      <w:color w:val="44546A" w:themeColor="text2"/>
    </w:rPr>
  </w:style>
  <w:style w:type="paragraph" w:styleId="Titre">
    <w:name w:val="Title"/>
    <w:basedOn w:val="Normal"/>
    <w:next w:val="Normal"/>
    <w:link w:val="TitreCar"/>
    <w:uiPriority w:val="10"/>
    <w:qFormat/>
    <w:rsid w:val="00A147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A147DC"/>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A147D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A147DC"/>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A147DC"/>
    <w:rPr>
      <w:b/>
      <w:bCs/>
    </w:rPr>
  </w:style>
  <w:style w:type="character" w:styleId="Accentuation">
    <w:name w:val="Emphasis"/>
    <w:basedOn w:val="Policepardfaut"/>
    <w:uiPriority w:val="20"/>
    <w:qFormat/>
    <w:rsid w:val="00A147DC"/>
    <w:rPr>
      <w:i/>
      <w:iCs/>
    </w:rPr>
  </w:style>
  <w:style w:type="paragraph" w:styleId="Sansinterligne">
    <w:name w:val="No Spacing"/>
    <w:uiPriority w:val="1"/>
    <w:qFormat/>
    <w:rsid w:val="00A147DC"/>
    <w:pPr>
      <w:spacing w:after="0" w:line="240" w:lineRule="auto"/>
    </w:pPr>
  </w:style>
  <w:style w:type="paragraph" w:styleId="Citation">
    <w:name w:val="Quote"/>
    <w:basedOn w:val="Normal"/>
    <w:next w:val="Normal"/>
    <w:link w:val="CitationCar"/>
    <w:uiPriority w:val="29"/>
    <w:qFormat/>
    <w:rsid w:val="00A147DC"/>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A147DC"/>
    <w:rPr>
      <w:color w:val="44546A" w:themeColor="text2"/>
      <w:sz w:val="24"/>
      <w:szCs w:val="24"/>
    </w:rPr>
  </w:style>
  <w:style w:type="paragraph" w:styleId="Citationintense">
    <w:name w:val="Intense Quote"/>
    <w:basedOn w:val="Normal"/>
    <w:next w:val="Normal"/>
    <w:link w:val="CitationintenseCar"/>
    <w:uiPriority w:val="30"/>
    <w:qFormat/>
    <w:rsid w:val="00A147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A147DC"/>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A147DC"/>
    <w:rPr>
      <w:i/>
      <w:iCs/>
      <w:color w:val="595959" w:themeColor="text1" w:themeTint="A6"/>
    </w:rPr>
  </w:style>
  <w:style w:type="character" w:styleId="Emphaseintense">
    <w:name w:val="Intense Emphasis"/>
    <w:basedOn w:val="Policepardfaut"/>
    <w:uiPriority w:val="21"/>
    <w:qFormat/>
    <w:rsid w:val="00A147DC"/>
    <w:rPr>
      <w:b/>
      <w:bCs/>
      <w:i/>
      <w:iCs/>
    </w:rPr>
  </w:style>
  <w:style w:type="character" w:styleId="Rfrenceple">
    <w:name w:val="Subtle Reference"/>
    <w:basedOn w:val="Policepardfaut"/>
    <w:uiPriority w:val="31"/>
    <w:qFormat/>
    <w:rsid w:val="00A147DC"/>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A147DC"/>
    <w:rPr>
      <w:b/>
      <w:bCs/>
      <w:smallCaps/>
      <w:color w:val="44546A" w:themeColor="text2"/>
      <w:u w:val="single"/>
    </w:rPr>
  </w:style>
  <w:style w:type="character" w:styleId="Titredulivre">
    <w:name w:val="Book Title"/>
    <w:basedOn w:val="Policepardfaut"/>
    <w:uiPriority w:val="33"/>
    <w:qFormat/>
    <w:rsid w:val="00A147DC"/>
    <w:rPr>
      <w:b/>
      <w:bCs/>
      <w:smallCaps/>
      <w:spacing w:val="10"/>
    </w:rPr>
  </w:style>
  <w:style w:type="paragraph" w:styleId="En-ttedetabledesmatires">
    <w:name w:val="TOC Heading"/>
    <w:basedOn w:val="Titre1"/>
    <w:next w:val="Normal"/>
    <w:uiPriority w:val="39"/>
    <w:semiHidden/>
    <w:unhideWhenUsed/>
    <w:qFormat/>
    <w:rsid w:val="00A147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1856</Words>
  <Characters>10211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dc:description/>
  <cp:lastModifiedBy>B B</cp:lastModifiedBy>
  <cp:revision>1</cp:revision>
  <dcterms:created xsi:type="dcterms:W3CDTF">2026-04-12T13:23:00Z</dcterms:created>
  <dcterms:modified xsi:type="dcterms:W3CDTF">2026-04-12T13:26:00Z</dcterms:modified>
</cp:coreProperties>
</file>